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8"/>
          <w:szCs w:val="28"/>
          <w:lang w:eastAsia="tr-TR"/>
        </w:rPr>
      </w:pP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8"/>
          <w:szCs w:val="28"/>
          <w:lang w:eastAsia="tr-TR"/>
        </w:rPr>
      </w:pPr>
      <w:r>
        <w:rPr>
          <w:rFonts w:ascii="Verdana" w:hAnsi="Verdana" w:cs="Verdana"/>
          <w:color w:val="0072BD"/>
          <w:sz w:val="28"/>
          <w:szCs w:val="28"/>
          <w:lang w:eastAsia="tr-TR"/>
        </w:rPr>
        <w:t>European Court of Human Rights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8"/>
          <w:szCs w:val="28"/>
          <w:lang w:eastAsia="tr-TR"/>
        </w:rPr>
      </w:pPr>
      <w:r>
        <w:rPr>
          <w:rFonts w:ascii="Verdana" w:hAnsi="Verdana" w:cs="Verdana"/>
          <w:color w:val="0072BD"/>
          <w:sz w:val="28"/>
          <w:szCs w:val="28"/>
          <w:lang w:eastAsia="tr-TR"/>
        </w:rPr>
        <w:t>Press Release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tr-TR"/>
        </w:rPr>
      </w:pPr>
      <w:r>
        <w:rPr>
          <w:rFonts w:ascii="Verdana" w:hAnsi="Verdana" w:cs="Verdana"/>
          <w:sz w:val="18"/>
          <w:szCs w:val="18"/>
          <w:lang w:eastAsia="tr-TR"/>
        </w:rPr>
        <w:t>issued by the Registrar of the Court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tr-TR"/>
        </w:rPr>
      </w:pPr>
      <w:r>
        <w:rPr>
          <w:rFonts w:ascii="Verdana" w:hAnsi="Verdana" w:cs="Verdana"/>
          <w:sz w:val="18"/>
          <w:szCs w:val="18"/>
          <w:lang w:eastAsia="tr-TR"/>
        </w:rPr>
        <w:t>ECHR 250 (2012)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tr-TR"/>
        </w:rPr>
      </w:pPr>
      <w:r>
        <w:rPr>
          <w:rFonts w:ascii="Verdana" w:hAnsi="Verdana" w:cs="Verdana"/>
          <w:sz w:val="18"/>
          <w:szCs w:val="18"/>
          <w:lang w:eastAsia="tr-TR"/>
        </w:rPr>
        <w:t>12.06.2012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tr-TR"/>
        </w:rPr>
      </w:pP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8"/>
          <w:szCs w:val="28"/>
          <w:lang w:eastAsia="tr-TR"/>
        </w:rPr>
      </w:pPr>
      <w:r>
        <w:rPr>
          <w:rFonts w:ascii="Verdana" w:hAnsi="Verdana" w:cs="Verdana"/>
          <w:color w:val="0072BD"/>
          <w:sz w:val="28"/>
          <w:szCs w:val="28"/>
          <w:lang w:eastAsia="tr-TR"/>
        </w:rPr>
        <w:t>Refusal to grant conscientious objector status is not necessary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8"/>
          <w:szCs w:val="28"/>
          <w:lang w:eastAsia="tr-TR"/>
        </w:rPr>
      </w:pPr>
      <w:proofErr w:type="gramStart"/>
      <w:r>
        <w:rPr>
          <w:rFonts w:ascii="Verdana" w:hAnsi="Verdana" w:cs="Verdana"/>
          <w:color w:val="0072BD"/>
          <w:sz w:val="28"/>
          <w:szCs w:val="28"/>
          <w:lang w:eastAsia="tr-TR"/>
        </w:rPr>
        <w:t>in</w:t>
      </w:r>
      <w:proofErr w:type="gramEnd"/>
      <w:r>
        <w:rPr>
          <w:rFonts w:ascii="Verdana" w:hAnsi="Verdana" w:cs="Verdana"/>
          <w:color w:val="0072BD"/>
          <w:sz w:val="28"/>
          <w:szCs w:val="28"/>
          <w:lang w:eastAsia="tr-TR"/>
        </w:rPr>
        <w:t xml:space="preserve"> a democratic society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In today’s Chamber judgment in the case </w:t>
      </w:r>
      <w:r>
        <w:rPr>
          <w:rFonts w:ascii="Verdana-Bold" w:hAnsi="Verdana-Bold" w:cs="Verdana-Bold"/>
          <w:b/>
          <w:bCs/>
          <w:color w:val="0072BD"/>
          <w:sz w:val="20"/>
          <w:szCs w:val="20"/>
          <w:lang w:eastAsia="tr-TR"/>
        </w:rPr>
        <w:t xml:space="preserve">Savda v. Turkey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(application no. 42730/05),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which is not final</w:t>
      </w:r>
      <w:r>
        <w:rPr>
          <w:rFonts w:ascii="Verdana" w:hAnsi="Verdana" w:cs="Verdana"/>
          <w:color w:val="000000"/>
          <w:sz w:val="13"/>
          <w:szCs w:val="13"/>
          <w:lang w:eastAsia="tr-TR"/>
        </w:rPr>
        <w:t>1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, the European Court of Human Rights held, unanimously, that there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had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been: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</w:pP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violations of Article 3 (prohibition of degrading treatment) and 9 </w:t>
      </w:r>
      <w:proofErr w:type="gramStart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(</w:t>
      </w:r>
      <w:proofErr w:type="gramEnd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right to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freedom of thought, conscience and religion</w:t>
      </w:r>
      <w:proofErr w:type="gramStart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)</w:t>
      </w:r>
      <w:proofErr w:type="gramEnd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of the European Convention on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Human Rights; and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a</w:t>
      </w:r>
      <w:proofErr w:type="gramEnd"/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 violation of Article 6 § 1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of the Convention on account of the lack of independence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and impartiality of the military court.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case concerned the failure to recognise the right to conscientious objection, which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would enable refusals to carry out military service to be legitimised in Turkey. The Court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reiterated that the system of compulsory military service in force in Turkey allowed for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no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exceptions on grounds of conscience and resulted in heavy criminal sanctions being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imposed on those who refused to comply. Such a system failed to strike a proper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balance between the general interest of society and that of conscientious objectors.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penalties, sanctions, convictions and prosecutions imposed on conscientious objectors,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when no measures were provided to take account of the requirements of their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consciences and convictions, could not be regarded as necessary in a democratic society.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D4D4D"/>
          <w:sz w:val="26"/>
          <w:szCs w:val="26"/>
          <w:lang w:eastAsia="tr-TR"/>
        </w:rPr>
      </w:pPr>
      <w:r>
        <w:rPr>
          <w:rFonts w:ascii="Verdana" w:hAnsi="Verdana" w:cs="Verdana"/>
          <w:color w:val="4D4D4D"/>
          <w:sz w:val="26"/>
          <w:szCs w:val="26"/>
          <w:lang w:eastAsia="tr-TR"/>
        </w:rPr>
        <w:t>Principal facts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applicant, Halil Savda, is a Turkish national who was born in 1974 and lives in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Istanbul (Turkey). Following his conscription into the army in 2004, he declared himself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to be a conscientious objector and refused to serve in the armed forces. He became 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leading member of the anti-militarist movement in Turkey, running a website set up by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“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  <w:t xml:space="preserve">War Resisters International” 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>an association founded in 1921 to promote non-violent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action against the causes of war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)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>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On 26 January 1994 he was sentenced to a prison term for aiding and abetting the PKK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(Workers’ Party of Kurdistan). He was called up for military service on 21 May 1996.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Having served his sentence, he was conscripted into his regiment on 27 May 1996 and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deserted on 14 August 1996. Arrested some months later in possession of a weapon, 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was accused of carrying out acts in favour of the PKK; he was detained on remand.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Adana State Security Court sentenced him to 14 years and 7 months’ imprisonment for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membership of the PKK. On 18 November 2004, after serving his sentence, he was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taken to the gendarmerie station for the purpose of his military service, then, on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25 November 2004, to his regiment, where he refused to don military uniform.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1 Under Articles 43 and 44 of the Convention, this Chamber judgment is not final. During the three-month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period following its delivery, any party may request that the case be referred to the Grand Chamber of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Court. If such a request is made, a panel of five judges considers whether the case deserves further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examination. In that event, the Grand Chamber will hear the case and deliver a final judgment. If the referral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request is refused, the Chamber judgment will become final on that day.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Once a judgment becomes final, it is transmitted to the Committee of Ministers of the Council of Europe for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eastAsia="tr-TR"/>
        </w:rPr>
      </w:pPr>
      <w:r>
        <w:rPr>
          <w:rFonts w:ascii="Verdana" w:hAnsi="Verdana" w:cs="Verdana"/>
          <w:color w:val="000000"/>
          <w:sz w:val="16"/>
          <w:szCs w:val="16"/>
          <w:lang w:eastAsia="tr-TR"/>
        </w:rPr>
        <w:t>supervision of its execution. Further information about the execution process can be found here: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0"/>
          <w:szCs w:val="20"/>
          <w:lang w:eastAsia="tr-TR"/>
        </w:rPr>
      </w:pPr>
      <w:r>
        <w:rPr>
          <w:rFonts w:ascii="Verdana" w:hAnsi="Verdana" w:cs="Verdana"/>
          <w:color w:val="0072BD"/>
          <w:sz w:val="20"/>
          <w:szCs w:val="20"/>
          <w:lang w:eastAsia="tr-TR"/>
        </w:rPr>
        <w:t>www.coe.int/t/dghl/monitoring/execution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2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 range of criminal proceedings were brought against him; in the meantime 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continued to refuse to integrate into his regiment for the purpose of military service. 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was tried on four occasions for desertion. On 21 April 2008 Mr Savda was transferred to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military hospital, where psychological tests were conducted. A panel of military doctors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diagnosed an “anti-social personality” disorder and concluded that he was unfit for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military service. On 25 April 2008, having been exempted from military service, he was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lastRenderedPageBreak/>
        <w:t>discharged from his regiment. He was released on 25 November 2008 once his last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prison sentence had been served.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D4D4D"/>
          <w:sz w:val="26"/>
          <w:szCs w:val="26"/>
          <w:lang w:eastAsia="tr-TR"/>
        </w:rPr>
      </w:pPr>
      <w:r>
        <w:rPr>
          <w:rFonts w:ascii="Verdana" w:hAnsi="Verdana" w:cs="Verdana"/>
          <w:color w:val="4D4D4D"/>
          <w:sz w:val="26"/>
          <w:szCs w:val="26"/>
          <w:lang w:eastAsia="tr-TR"/>
        </w:rPr>
        <w:t>Complaints, procedure and composition of the Court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Mr Savda complained that his various prosecutions and convictions for claiming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conscientious objector status had entailed violations of Articles 9 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(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>right to freedom of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thought, conscience and religion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)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and 10 (right to freedom of expression) of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Convention. Emphasising the seriousness of the measures taken against him on account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of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his refusal, he argued that the successive convictions placed him in a situation of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humiliation and debasement. Relying on Article 6, he challenged the fairness of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proceedings before the military court, which, in his view, could not be regarded as an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independent and impartial tribunal. The Court decided to examine Mr Savda’s complaints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under Articles 3, 6 and 9 of the Convention.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application was lodged with the European Court of Human Rights on 11 November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2005.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Judgment was given by a Chamber of seven, composed as follows: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Françoise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Tulkens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(Belgium), 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  <w:t>President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Danutė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Jočienė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(Lithuania),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Dragoljub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Popović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(Serbia),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Isabelle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Berro-Lefèvre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(Monaco),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András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Sajó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(Hungary),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Işıl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Karakaş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(Turkey),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Guido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Raimondi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(Italy)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  <w:t>, Judges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and also Stanley </w:t>
      </w: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>Naismith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, 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  <w:t>Section Registrar.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D4D4D"/>
          <w:sz w:val="26"/>
          <w:szCs w:val="26"/>
          <w:lang w:eastAsia="tr-TR"/>
        </w:rPr>
      </w:pPr>
      <w:r>
        <w:rPr>
          <w:rFonts w:ascii="Verdana" w:hAnsi="Verdana" w:cs="Verdana"/>
          <w:color w:val="4D4D4D"/>
          <w:sz w:val="26"/>
          <w:szCs w:val="26"/>
          <w:lang w:eastAsia="tr-TR"/>
        </w:rPr>
        <w:t>Decision of the Court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lang w:eastAsia="tr-TR"/>
        </w:rPr>
      </w:pPr>
      <w:r>
        <w:rPr>
          <w:rFonts w:ascii="Verdana" w:hAnsi="Verdana" w:cs="Verdana"/>
          <w:color w:val="0072BD"/>
          <w:lang w:eastAsia="tr-TR"/>
        </w:rPr>
        <w:t>Article 3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Court noted that in Turkey all male citizens who are found fit for national service are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obliged to perform military service. Given that no substitute civilian service exists,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conscientious objectors have no other choice, if they are to remain true to their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convictions, but to refuse to be drafted into the army. In so doing, they open themselves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to a form of “civil death”, on account of the numerous criminal proceedings that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authorities invariably bring against them, the cumulative effects of the resulting criminal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convictions and the possibility of being prosecuted throughout their lives.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Mr Savda was sentenced to prison terms on three occasions for refusing to wear 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military uniform. On several occasions he was placed in solitary confinement, for periods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ranging from 2 to 8 days, always on the same ground. Finally, Mr Savda was subjected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to various criminal prosecutions and convictions, which were likely to continue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indefinitely had the decision to demobilise him not been taken on 25 April 2008.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 those circumstances, the Court considered that the treatment to which Mr Savda had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been subjected had caused serious pain and suffering that went beyond the usual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3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element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of humiliation inherent in a criminal conviction or detention. The Court therefore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concluded that there had been a violation of Article 3.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lang w:eastAsia="tr-TR"/>
        </w:rPr>
      </w:pPr>
      <w:r>
        <w:rPr>
          <w:rFonts w:ascii="Verdana" w:hAnsi="Verdana" w:cs="Verdana"/>
          <w:color w:val="0072BD"/>
          <w:lang w:eastAsia="tr-TR"/>
        </w:rPr>
        <w:t>Article 9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Court recently re-examined its case-law concerning the application of Article 9 to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conscientious objectors, in its judgment in the case of </w:t>
      </w:r>
      <w:r>
        <w:rPr>
          <w:rFonts w:ascii="Verdana" w:hAnsi="Verdana" w:cs="Verdana"/>
          <w:color w:val="0072BD"/>
          <w:sz w:val="20"/>
          <w:szCs w:val="20"/>
          <w:lang w:eastAsia="tr-TR"/>
        </w:rPr>
        <w:t>Bayatyan v. Armenia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(no. 23459/03) of 7 July 2011. It held that opposition to military service, where it was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motivated by a serious and insurmountable conflict between the obligation to serve in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army and a person’s conscience or his deeply and genuinely held religious or other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beliefs, constituted a conviction or belief of sufficient cogency, seriousness, cohesion and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importance to attract the guarantees of Article 9.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 the present case, the Court noted that Mr Savda complained not only about specific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actions on the part of the State, but also about the latter’s failure to have enacted a law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implementing the right to conscientious objection. It noted that the Government had put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forward no convincing or compelling reason that would justify this failure.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Government was unable to explain in what way recognition of the right to conscientious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objection was incompatible, in the contemporary world, with the State’s duties in relation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lastRenderedPageBreak/>
        <w:t>to territorial integrity, public safety, the prevention of disorder and protection of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rights of others.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Court noted that Mr Savda’s case was characterised by the absence of a procedure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to examine his request for recognition of conscientious objector status. His request was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never examined by the authorities, who merely made use of criminal-law provisions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penalising the refusal to carry out military service. The Court emphasised the State’s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obligation to provide a regulatory framework introducing a mechanism to protect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rights of individuals. In the absence of a procedure to examine requests for the purpose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of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establishing conscientious objector status, the obligation to carry out military service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was such as to entail a serious and insurmountable conflict with an individual’s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conscience. There was therefore an obligation on the authorities to provide Mr Savda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with an effective and accessible procedure that would have enabled him to have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established whether he was entitled to conscientious objector status, as he requested.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 system which provided for no alternative service or any effective and accessible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procedure by which the person concerned was able to have examined the question of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whether he could benefit from the right to conscientious objection failed to strike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proper balance between the general interest of society and that of conscientious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objectors. It followed that the relevant authorities had failed to comply with their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obligation under Article 9 of the Convention.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lang w:eastAsia="tr-TR"/>
        </w:rPr>
      </w:pPr>
      <w:r>
        <w:rPr>
          <w:rFonts w:ascii="Verdana" w:hAnsi="Verdana" w:cs="Verdana"/>
          <w:color w:val="0072BD"/>
          <w:lang w:eastAsia="tr-TR"/>
        </w:rPr>
        <w:t>Article 6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Court noted that under Turkish criminal law an individual was considered to be 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serviceman from the moment of incorporation into his regiment. Following his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conscription, Mr Savda refused to wear military uniform and stated that he did not wish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to carry out military service for reasons of conscience. In the Court’s opinion, such 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situation could hardly be regarded as similar to that of a regular solder who willingly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agreed to submit to a system of military discipline.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 the Court’s opinion, it was entirely understandable that a person who claimed to be a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conscientious objector should be apprehensive about being tried by a bench of three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judges which included a regular army officer. Such mistrust, however, did not suffice for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it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to be held that there had been a violation of Article 6 § 1. The Court endorsed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findings of the Turkish Constitutional Court, which, in its judgment of 7 May 2009, held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that the participation of officers in the deliberations of military courts and the provisions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subjecting military judges to military discipline and assessment reports were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4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incompatible with the constitutional principle of judicial independence. Under a recently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introduced constitutional amendment, the legislature is no longer obliged to take into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account the “requirements of military service” in enacting legislation on military courts.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The Court considered it understandable that Mr Savda, having had to face purely military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charges before a court made up entirely of servicemen, had been apprehensive about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being tried by judges who could be equated with a party to the proceedings. As the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applicant could legitimately have feared that the court could be influenced by biased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considerations and given that his doubts as to that court’s independence and impartiality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were objectively justified, the Court held that there had been a violation of Article 6 § 1.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lang w:eastAsia="tr-TR"/>
        </w:rPr>
      </w:pPr>
      <w:r>
        <w:rPr>
          <w:rFonts w:ascii="Verdana" w:hAnsi="Verdana" w:cs="Verdana"/>
          <w:color w:val="0072BD"/>
          <w:lang w:eastAsia="tr-TR"/>
        </w:rPr>
        <w:t>Article 41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Under Article 41 (just satisfaction) of the Convention, the Court held that Turkey was to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tr-TR"/>
        </w:rPr>
        <w:t>pay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 the applicant 12,000 euros (EUR) in respect of non-pecuniary damage and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EUR 1,975 in respect of costs and expenses.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</w:pPr>
      <w:r>
        <w:rPr>
          <w:rFonts w:ascii="Verdana-Italic" w:hAnsi="Verdana-Italic" w:cs="Verdana-Italic"/>
          <w:i/>
          <w:iCs/>
          <w:color w:val="000000"/>
          <w:sz w:val="20"/>
          <w:szCs w:val="20"/>
          <w:lang w:eastAsia="tr-TR"/>
        </w:rPr>
        <w:t>The judgment is available only in French.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This press release is a document produced by the Registry. It does not bind the Court.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Decisions, judgments and further information about the Court can be found on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2BD"/>
          <w:sz w:val="20"/>
          <w:szCs w:val="20"/>
          <w:lang w:eastAsia="tr-TR"/>
        </w:rPr>
      </w:pPr>
      <w:r>
        <w:rPr>
          <w:rFonts w:ascii="Verdana" w:hAnsi="Verdana" w:cs="Verdana"/>
          <w:color w:val="0072BD"/>
          <w:sz w:val="20"/>
          <w:szCs w:val="20"/>
          <w:lang w:eastAsia="tr-TR"/>
        </w:rPr>
        <w:t>www.echr.coe.int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 xml:space="preserve">. To receive the Court’s press releases, please subscribe to the </w:t>
      </w:r>
      <w:r>
        <w:rPr>
          <w:rFonts w:ascii="Verdana" w:hAnsi="Verdana" w:cs="Verdana"/>
          <w:color w:val="0072BD"/>
          <w:sz w:val="20"/>
          <w:szCs w:val="20"/>
          <w:lang w:eastAsia="tr-TR"/>
        </w:rPr>
        <w:t>Court’s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72BD"/>
          <w:sz w:val="20"/>
          <w:szCs w:val="20"/>
          <w:lang w:eastAsia="tr-TR"/>
        </w:rPr>
        <w:t>RSS feeds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.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72BD"/>
          <w:sz w:val="20"/>
          <w:szCs w:val="20"/>
          <w:lang w:eastAsia="tr-TR"/>
        </w:rPr>
      </w:pPr>
      <w:r>
        <w:rPr>
          <w:rFonts w:ascii="Verdana-Bold" w:hAnsi="Verdana-Bold" w:cs="Verdana-Bold"/>
          <w:b/>
          <w:bCs/>
          <w:color w:val="0072BD"/>
          <w:sz w:val="20"/>
          <w:szCs w:val="20"/>
          <w:lang w:eastAsia="tr-TR"/>
        </w:rPr>
        <w:t>Press contacts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72BD"/>
          <w:sz w:val="20"/>
          <w:szCs w:val="20"/>
          <w:lang w:eastAsia="tr-TR"/>
        </w:rPr>
        <w:t>echrpress@</w:t>
      </w:r>
      <w:proofErr w:type="gramStart"/>
      <w:r>
        <w:rPr>
          <w:rFonts w:ascii="Verdana" w:hAnsi="Verdana" w:cs="Verdana"/>
          <w:color w:val="0072BD"/>
          <w:sz w:val="20"/>
          <w:szCs w:val="20"/>
          <w:lang w:eastAsia="tr-TR"/>
        </w:rPr>
        <w:t>echr.coe</w:t>
      </w:r>
      <w:proofErr w:type="gramEnd"/>
      <w:r>
        <w:rPr>
          <w:rFonts w:ascii="Verdana" w:hAnsi="Verdana" w:cs="Verdana"/>
          <w:color w:val="0072BD"/>
          <w:sz w:val="20"/>
          <w:szCs w:val="20"/>
          <w:lang w:eastAsia="tr-TR"/>
        </w:rPr>
        <w:t xml:space="preserve">.int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| tel: +33 3 90 21 42 08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Tracey Turner-Tretz (tel: + 33 3 88 41 35 30)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Kristina Pencheva-Malinowski (tel: + 33 3 88 41 35 70)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Céline Menu-Lange (tel: + 33 3 90 21 58 77)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lastRenderedPageBreak/>
        <w:t>Nina Salomon (tel: + 33 3 90 21 49 79)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Denis Lambert (tel: + 33 3 90 21 41 09)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-Bold" w:hAnsi="Verdana-Bold" w:cs="Verdana-Bold"/>
          <w:b/>
          <w:bCs/>
          <w:color w:val="333333"/>
          <w:sz w:val="20"/>
          <w:szCs w:val="20"/>
          <w:lang w:eastAsia="tr-TR"/>
        </w:rPr>
        <w:t xml:space="preserve">The European Court of Human Rights </w:t>
      </w:r>
      <w:r>
        <w:rPr>
          <w:rFonts w:ascii="Verdana" w:hAnsi="Verdana" w:cs="Verdana"/>
          <w:color w:val="000000"/>
          <w:sz w:val="20"/>
          <w:szCs w:val="20"/>
          <w:lang w:eastAsia="tr-TR"/>
        </w:rPr>
        <w:t>was set up in Strasbourg by the Council of</w:t>
      </w:r>
    </w:p>
    <w:p w:rsidR="00BC27A0" w:rsidRDefault="00BC27A0" w:rsidP="00BC27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tr-TR"/>
        </w:rPr>
      </w:pPr>
      <w:r>
        <w:rPr>
          <w:rFonts w:ascii="Verdana" w:hAnsi="Verdana" w:cs="Verdana"/>
          <w:color w:val="000000"/>
          <w:sz w:val="20"/>
          <w:szCs w:val="20"/>
          <w:lang w:eastAsia="tr-TR"/>
        </w:rPr>
        <w:t>Europe Member States in 1959 to deal with alleged violations of the 1950 European</w:t>
      </w:r>
    </w:p>
    <w:p w:rsidR="00740D96" w:rsidRDefault="00BC27A0" w:rsidP="00BC27A0">
      <w:r>
        <w:rPr>
          <w:rFonts w:ascii="Verdana" w:hAnsi="Verdana" w:cs="Verdana"/>
          <w:color w:val="000000"/>
          <w:sz w:val="20"/>
          <w:szCs w:val="20"/>
          <w:lang w:eastAsia="tr-TR"/>
        </w:rPr>
        <w:t>Convention on Human Rights.</w:t>
      </w:r>
    </w:p>
    <w:sectPr w:rsidR="00740D96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27A0"/>
    <w:rsid w:val="00024CC3"/>
    <w:rsid w:val="000A462F"/>
    <w:rsid w:val="001138DD"/>
    <w:rsid w:val="001B2344"/>
    <w:rsid w:val="0035796F"/>
    <w:rsid w:val="0048703D"/>
    <w:rsid w:val="00740D96"/>
    <w:rsid w:val="008F5B89"/>
    <w:rsid w:val="00953D13"/>
    <w:rsid w:val="00987373"/>
    <w:rsid w:val="009A2EC1"/>
    <w:rsid w:val="00AC26F1"/>
    <w:rsid w:val="00AE79F2"/>
    <w:rsid w:val="00BA239C"/>
    <w:rsid w:val="00BC12CE"/>
    <w:rsid w:val="00BC27A0"/>
    <w:rsid w:val="00C66358"/>
    <w:rsid w:val="00D36947"/>
    <w:rsid w:val="00D94484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7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2012-06-15T07:54:00Z</dcterms:created>
  <dcterms:modified xsi:type="dcterms:W3CDTF">2012-06-15T07:57:00Z</dcterms:modified>
</cp:coreProperties>
</file>